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tl w:val="0"/>
        </w:rPr>
        <w:t xml:space="preserve">IV JORNADA “QUÉ UNIVERSIDAD QUEREMOS”</w:t>
      </w:r>
    </w:p>
    <w:p w:rsidR="00000000" w:rsidDel="00000000" w:rsidP="00000000" w:rsidRDefault="00000000" w:rsidRPr="00000000">
      <w:pPr>
        <w:contextualSpacing w:val="0"/>
        <w:jc w:val="both"/>
      </w:pPr>
      <w:r w:rsidDel="00000000" w:rsidR="00000000" w:rsidRPr="00000000">
        <w:rPr>
          <w:rtl w:val="0"/>
        </w:rPr>
        <w:t xml:space="preserve">ADEIUNAJ</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Fecha: 30/11</w:t>
      </w:r>
    </w:p>
    <w:p w:rsidR="00000000" w:rsidDel="00000000" w:rsidP="00000000" w:rsidRDefault="00000000" w:rsidRPr="00000000">
      <w:pPr>
        <w:contextualSpacing w:val="0"/>
        <w:jc w:val="both"/>
      </w:pPr>
      <w:r w:rsidDel="00000000" w:rsidR="00000000" w:rsidRPr="00000000">
        <w:rPr>
          <w:rtl w:val="0"/>
        </w:rPr>
        <w:t xml:space="preserve">Horario: 10.00 a 13.30 hs.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Objetivos:</w:t>
      </w:r>
    </w:p>
    <w:p w:rsidR="00000000" w:rsidDel="00000000" w:rsidP="00000000" w:rsidRDefault="00000000" w:rsidRPr="00000000">
      <w:pPr>
        <w:contextualSpacing w:val="0"/>
        <w:jc w:val="both"/>
      </w:pPr>
      <w:r w:rsidDel="00000000" w:rsidR="00000000" w:rsidRPr="00000000">
        <w:rPr>
          <w:rtl w:val="0"/>
        </w:rPr>
        <w:t xml:space="preserve">Debatir sobre los principales ejes que caracterizan la vida universitaria revisando el desarrollo de la UNAJ, el nuevo contexto nacional y los desafíos que implican sostener el Proyecto de Universidad Inclusiva.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Participantes: </w:t>
      </w:r>
    </w:p>
    <w:p w:rsidR="00000000" w:rsidDel="00000000" w:rsidP="00000000" w:rsidRDefault="00000000" w:rsidRPr="00000000">
      <w:pPr>
        <w:contextualSpacing w:val="0"/>
        <w:jc w:val="both"/>
      </w:pPr>
      <w:r w:rsidDel="00000000" w:rsidR="00000000" w:rsidRPr="00000000">
        <w:rPr>
          <w:rtl w:val="0"/>
        </w:rPr>
        <w:t xml:space="preserve">Miembros del claustro docente de la UNAJ.</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Introducción:</w:t>
      </w:r>
    </w:p>
    <w:p w:rsidR="00000000" w:rsidDel="00000000" w:rsidP="00000000" w:rsidRDefault="00000000" w:rsidRPr="00000000">
      <w:pPr>
        <w:contextualSpacing w:val="0"/>
        <w:jc w:val="both"/>
      </w:pPr>
      <w:r w:rsidDel="00000000" w:rsidR="00000000" w:rsidRPr="00000000">
        <w:rPr>
          <w:rtl w:val="0"/>
        </w:rPr>
        <w:t xml:space="preserve">Nuestro sindicato nació hace 5 años con la universidad. Desde el primer día nos convocó tanto la necesidad de crear un espacio que representara los intereses de los trabajadores y las trabajadoras docentes en tanto tales, así como tener un ámbito de reflexión crítica sobre nuestras prácticas. Teníamos presente que el proyecto de una universidad nueva, con los desafíos que la Jauretche se proponía -hacer efectivo el derecho a la educación universitaria al pueblo que vive en este 3er. cordón- implicaba revisar muchas de las prácticas docentes y las formas de funcionamiento institucional que en las universidades tradicionales son moneda corriente.</w:t>
      </w:r>
    </w:p>
    <w:p w:rsidR="00000000" w:rsidDel="00000000" w:rsidP="00000000" w:rsidRDefault="00000000" w:rsidRPr="00000000">
      <w:pPr>
        <w:contextualSpacing w:val="0"/>
        <w:jc w:val="both"/>
      </w:pPr>
      <w:r w:rsidDel="00000000" w:rsidR="00000000" w:rsidRPr="00000000">
        <w:rPr>
          <w:rtl w:val="0"/>
        </w:rPr>
        <w:t xml:space="preserve">Para ello desde el 2013, desarrollamos año a año la "Jornada Docente" como espacio conjunto de reflexión para pensar la agenda y orientación que ADEIUNAJ se da en relación a nuestra actividad. De allí surgieron los proyectos de reglamento de concursos, de carrera académica que luego discutimos con las autoridades. También de esas discusiones surgió la necesidad de mejorar la comunicación con los afiliados (y por eso la web, el facebook y finalmente Flor de Ceibo), ampliar los servicios de tipo gremial y la necesidad de tener un espacio de encuentro (como el Espacio de Bienestar), entre muchas otras demandas que aún hoy están pendientes.</w:t>
      </w:r>
    </w:p>
    <w:p w:rsidR="00000000" w:rsidDel="00000000" w:rsidP="00000000" w:rsidRDefault="00000000" w:rsidRPr="00000000">
      <w:pPr>
        <w:contextualSpacing w:val="0"/>
        <w:jc w:val="both"/>
      </w:pPr>
      <w:r w:rsidDel="00000000" w:rsidR="00000000" w:rsidRPr="00000000">
        <w:rPr>
          <w:rtl w:val="0"/>
        </w:rPr>
        <w:t xml:space="preserve">En las primeras dos Jornadas hablamos mucho acerca de la labor docente y nos hicimos una pregunta que aún hoy no tiene respuesta unívoca ¿qué es y cómo se ejercita la inclusión? También discutimos extensamente si nuestro sindicato debe pensarse sólo como una herramienta gremial o nos dábamos el permiso para PENSAR LA UNIVERSIDAD Y LA EDUCACIÓN que construimos y reproducimos cotidianamente en el proyecto institucional. Decidimos que como trabajadores de la educación, no podíamos dejar de pensar/nos en el marco de una acción transformadora de la realidad que implica la universidad. Reflexionamos sobre de qué manera nos relacionamos con la realidad social y política del territorio. Discutimos también sobre cómo pensar la investigación y la "consagración" o legitimación de la investigación que debemos o queremos, en el marco de los cánones tradicionales de la academia, mayormente jerárquicos, restrictivos y excluyentes.</w:t>
      </w:r>
    </w:p>
    <w:p w:rsidR="00000000" w:rsidDel="00000000" w:rsidP="00000000" w:rsidRDefault="00000000" w:rsidRPr="00000000">
      <w:pPr>
        <w:contextualSpacing w:val="0"/>
        <w:jc w:val="both"/>
      </w:pPr>
      <w:r w:rsidDel="00000000" w:rsidR="00000000" w:rsidRPr="00000000">
        <w:rPr>
          <w:rtl w:val="0"/>
        </w:rPr>
        <w:t xml:space="preserve">La Tercera Jornada se hizo bajo la pregunta ¿cómo pensamos ESTA universidad en el marco de un gobierno liberal y de ajuste?. Y más que respuestas nos dimos preguntas, porque hoy lo que está en juego es la propia educación universitaria tal como la conocemos. </w:t>
      </w:r>
    </w:p>
    <w:p w:rsidR="00000000" w:rsidDel="00000000" w:rsidP="00000000" w:rsidRDefault="00000000" w:rsidRPr="00000000">
      <w:pPr>
        <w:contextualSpacing w:val="0"/>
        <w:jc w:val="both"/>
      </w:pPr>
      <w:r w:rsidDel="00000000" w:rsidR="00000000" w:rsidRPr="00000000">
        <w:rPr>
          <w:rtl w:val="0"/>
        </w:rPr>
        <w:t xml:space="preserve">Te invitamos a seguir pensando en conjunto en la IV Jornada docente QUÉ UNIVERSIDAD QUEREMOS, y en relación a nuestro sindicato  CÓMO QUEREMOS TRABAJAR. Este momento nos sirve para pensar qué cosas queremos sostener y que agenda de acción gremial nos damos el año que viene. Ha sido un año cansador y estresante, pero te pedimos un último esfuerzo para cerrar este año pensando el año que viene desde el primer minuto. Nuestra paritaria se hace en febrero cuando muchos aún estamos fuera del aula. Por todo esto es importante cerrar el año pensando el que viene.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Coordinación: </w:t>
      </w:r>
    </w:p>
    <w:p w:rsidR="00000000" w:rsidDel="00000000" w:rsidP="00000000" w:rsidRDefault="00000000" w:rsidRPr="00000000">
      <w:pPr>
        <w:contextualSpacing w:val="0"/>
        <w:jc w:val="both"/>
      </w:pPr>
      <w:r w:rsidDel="00000000" w:rsidR="00000000" w:rsidRPr="00000000">
        <w:rPr>
          <w:rtl w:val="0"/>
        </w:rPr>
        <w:t xml:space="preserve">Esteban Secondi - Secretario General ADEIUNAJ.</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Modalidad:</w:t>
      </w:r>
    </w:p>
    <w:p w:rsidR="00000000" w:rsidDel="00000000" w:rsidP="00000000" w:rsidRDefault="00000000" w:rsidRPr="00000000">
      <w:pPr>
        <w:contextualSpacing w:val="0"/>
        <w:jc w:val="both"/>
      </w:pPr>
      <w:r w:rsidDel="00000000" w:rsidR="00000000" w:rsidRPr="00000000">
        <w:rPr>
          <w:rtl w:val="0"/>
        </w:rPr>
        <w:t xml:space="preserve">Debate a partir de preguntas disparadoras y búsqueda de consenso acerca de los principales ejes relacionados con</w:t>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Perfil académico</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Investigación</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Territorio</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Inclusión</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Condiciones de trabajo</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jc w:val="both"/>
        <w:rPr/>
      </w:pPr>
      <w:r w:rsidDel="00000000" w:rsidR="00000000" w:rsidRPr="00000000">
        <w:rPr>
          <w:rFonts w:ascii="Cambria" w:cs="Cambria" w:eastAsia="Cambria" w:hAnsi="Cambria"/>
          <w:b w:val="0"/>
          <w:sz w:val="24"/>
          <w:szCs w:val="24"/>
          <w:rtl w:val="0"/>
        </w:rPr>
        <w:t xml:space="preserve">Sindicalización y objetivos reivindicativos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Preguntas disparadoras</w:t>
      </w:r>
    </w:p>
    <w:p w:rsidR="00000000" w:rsidDel="00000000" w:rsidP="00000000" w:rsidRDefault="00000000" w:rsidRPr="00000000">
      <w:pPr>
        <w:numPr>
          <w:ilvl w:val="0"/>
          <w:numId w:val="2"/>
        </w:numPr>
        <w:spacing w:after="0" w:before="0" w:line="240" w:lineRule="auto"/>
        <w:ind w:left="720" w:hanging="360"/>
        <w:contextualSpacing w:val="1"/>
        <w:jc w:val="both"/>
        <w:rPr>
          <w:b w:val="1"/>
          <w:sz w:val="24"/>
          <w:szCs w:val="24"/>
        </w:rPr>
      </w:pPr>
      <w:r w:rsidDel="00000000" w:rsidR="00000000" w:rsidRPr="00000000">
        <w:rPr>
          <w:rFonts w:ascii="Cambria" w:cs="Cambria" w:eastAsia="Cambria" w:hAnsi="Cambria"/>
          <w:b w:val="1"/>
          <w:sz w:val="24"/>
          <w:szCs w:val="24"/>
          <w:rtl w:val="0"/>
        </w:rPr>
        <w:t xml:space="preserve">Perfil académico</w:t>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¿Es la UNAJ una Universidad complementaria o similar a las ofertas de universidades similares (por trayectoria o por territorio compartido)?</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¿Las carreras que se ofrecen son similares o diferentes respecto de carreras similares en otras universidades?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¿La oferta de formación docente brinda herramientas adecuadas para la mejora didáctica, pedagógica y profesional de los docentes?</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jc w:val="both"/>
        <w:rPr>
          <w:b w:val="1"/>
          <w:sz w:val="24"/>
          <w:szCs w:val="24"/>
        </w:rPr>
      </w:pPr>
      <w:r w:rsidDel="00000000" w:rsidR="00000000" w:rsidRPr="00000000">
        <w:rPr>
          <w:rFonts w:ascii="Cambria" w:cs="Cambria" w:eastAsia="Cambria" w:hAnsi="Cambria"/>
          <w:b w:val="1"/>
          <w:sz w:val="24"/>
          <w:szCs w:val="24"/>
          <w:rtl w:val="0"/>
        </w:rPr>
        <w:t xml:space="preserve">Investigación</w:t>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¿Contempla la UNAJ fondos para la investigación?</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¿Investigación vs extensión?¿Hay articulación entre investigación y territorio?</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¿Qué objetivos debería plantearse la UNAJ para los próximos 5 años?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¿Se debe articular con Nación, Provincia? ¿Qué otras instituciones reconocen y acreditan lo que se hace en UNAJ?</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¿Cómo se conforman las comisiones evaluadoras de los proyectos de investigación? ¿Se convoca a personas idóneas en las temáticas en cuestión?</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Publicaciones: ¿Debería existir una editorial de la UNAJ que publique tesis de docentes (y alumnos)?</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jc w:val="both"/>
        <w:rPr>
          <w:b w:val="1"/>
          <w:sz w:val="24"/>
          <w:szCs w:val="24"/>
        </w:rPr>
      </w:pPr>
      <w:r w:rsidDel="00000000" w:rsidR="00000000" w:rsidRPr="00000000">
        <w:rPr>
          <w:rFonts w:ascii="Cambria" w:cs="Cambria" w:eastAsia="Cambria" w:hAnsi="Cambria"/>
          <w:b w:val="1"/>
          <w:sz w:val="24"/>
          <w:szCs w:val="24"/>
          <w:rtl w:val="0"/>
        </w:rPr>
        <w:t xml:space="preserve">Territorio</w:t>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¿Cuáles son los canales privilegiados de contacto entre las actividades de la UNAJ y el territorio? </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Salud y bienestar de la población</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Producción</w:t>
      </w:r>
      <w:r w:rsidDel="00000000" w:rsidR="00000000" w:rsidRPr="00000000">
        <w:rPr>
          <w:rtl w:val="0"/>
        </w:rPr>
      </w:r>
    </w:p>
    <w:p w:rsidR="00000000" w:rsidDel="00000000" w:rsidP="00000000" w:rsidRDefault="00000000" w:rsidRPr="00000000">
      <w:pPr>
        <w:numPr>
          <w:ilvl w:val="3"/>
          <w:numId w:val="2"/>
        </w:numPr>
        <w:spacing w:after="0" w:before="0" w:line="240" w:lineRule="auto"/>
        <w:ind w:left="2880" w:hanging="360"/>
        <w:contextualSpacing w:val="1"/>
        <w:jc w:val="both"/>
        <w:rPr/>
      </w:pPr>
      <w:r w:rsidDel="00000000" w:rsidR="00000000" w:rsidRPr="00000000">
        <w:rPr>
          <w:rFonts w:ascii="Cambria" w:cs="Cambria" w:eastAsia="Cambria" w:hAnsi="Cambria"/>
          <w:b w:val="0"/>
          <w:sz w:val="24"/>
          <w:szCs w:val="24"/>
          <w:rtl w:val="0"/>
        </w:rPr>
        <w:t xml:space="preserve">Grandes Empresas</w:t>
      </w:r>
      <w:r w:rsidDel="00000000" w:rsidR="00000000" w:rsidRPr="00000000">
        <w:rPr>
          <w:rtl w:val="0"/>
        </w:rPr>
      </w:r>
    </w:p>
    <w:p w:rsidR="00000000" w:rsidDel="00000000" w:rsidP="00000000" w:rsidRDefault="00000000" w:rsidRPr="00000000">
      <w:pPr>
        <w:numPr>
          <w:ilvl w:val="3"/>
          <w:numId w:val="2"/>
        </w:numPr>
        <w:spacing w:after="0" w:before="0" w:line="240" w:lineRule="auto"/>
        <w:ind w:left="2880" w:hanging="360"/>
        <w:contextualSpacing w:val="1"/>
        <w:jc w:val="both"/>
        <w:rPr/>
      </w:pPr>
      <w:r w:rsidDel="00000000" w:rsidR="00000000" w:rsidRPr="00000000">
        <w:rPr>
          <w:rFonts w:ascii="Cambria" w:cs="Cambria" w:eastAsia="Cambria" w:hAnsi="Cambria"/>
          <w:b w:val="0"/>
          <w:sz w:val="24"/>
          <w:szCs w:val="24"/>
          <w:rtl w:val="0"/>
        </w:rPr>
        <w:t xml:space="preserve">PyMEs</w:t>
      </w:r>
      <w:r w:rsidDel="00000000" w:rsidR="00000000" w:rsidRPr="00000000">
        <w:rPr>
          <w:rtl w:val="0"/>
        </w:rPr>
      </w:r>
    </w:p>
    <w:p w:rsidR="00000000" w:rsidDel="00000000" w:rsidP="00000000" w:rsidRDefault="00000000" w:rsidRPr="00000000">
      <w:pPr>
        <w:numPr>
          <w:ilvl w:val="3"/>
          <w:numId w:val="2"/>
        </w:numPr>
        <w:spacing w:after="0" w:before="0" w:line="240" w:lineRule="auto"/>
        <w:ind w:left="2880" w:hanging="360"/>
        <w:contextualSpacing w:val="1"/>
        <w:jc w:val="both"/>
        <w:rPr/>
      </w:pPr>
      <w:r w:rsidDel="00000000" w:rsidR="00000000" w:rsidRPr="00000000">
        <w:rPr>
          <w:rFonts w:ascii="Cambria" w:cs="Cambria" w:eastAsia="Cambria" w:hAnsi="Cambria"/>
          <w:b w:val="0"/>
          <w:sz w:val="24"/>
          <w:szCs w:val="24"/>
          <w:rtl w:val="0"/>
        </w:rPr>
        <w:t xml:space="preserve">Pequeños productores</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Acción Social</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Política Pública y gestión</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jc w:val="both"/>
        <w:rPr>
          <w:b w:val="1"/>
          <w:sz w:val="24"/>
          <w:szCs w:val="24"/>
        </w:rPr>
      </w:pPr>
      <w:r w:rsidDel="00000000" w:rsidR="00000000" w:rsidRPr="00000000">
        <w:rPr>
          <w:rFonts w:ascii="Cambria" w:cs="Cambria" w:eastAsia="Cambria" w:hAnsi="Cambria"/>
          <w:b w:val="1"/>
          <w:sz w:val="24"/>
          <w:szCs w:val="24"/>
          <w:rtl w:val="0"/>
        </w:rPr>
        <w:t xml:space="preserve">Inclusión</w:t>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¿Cuándo hablamos de inclusión, a qué nos referimos? </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¿Garantizar inclusión implica concesiones en cuanto al nivel académico exigido?</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¿Las tutorías actúan adecuadamente y a tiempo?</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¿El nivel de deserción en nuestras aulas, es muy diferente al de otras universidades?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¿Cómo afrontaremos la deserción debida a problemas económicos sin el apoyo de las becas? </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jc w:val="both"/>
        <w:rPr/>
      </w:pPr>
      <w:r w:rsidDel="00000000" w:rsidR="00000000" w:rsidRPr="00000000">
        <w:rPr>
          <w:rFonts w:ascii="Cambria" w:cs="Cambria" w:eastAsia="Cambria" w:hAnsi="Cambria"/>
          <w:b w:val="1"/>
          <w:sz w:val="24"/>
          <w:szCs w:val="24"/>
          <w:rtl w:val="0"/>
        </w:rPr>
        <w:t xml:space="preserve">Condiciones de trabajo</w:t>
      </w:r>
      <w:r w:rsidDel="00000000" w:rsidR="00000000" w:rsidRPr="00000000">
        <w:rPr>
          <w:rFonts w:ascii="Cambria" w:cs="Cambria" w:eastAsia="Cambria" w:hAnsi="Cambria"/>
          <w:b w:val="0"/>
          <w:sz w:val="24"/>
          <w:szCs w:val="24"/>
          <w:rtl w:val="0"/>
        </w:rPr>
        <w:t xml:space="preserve"> </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Trato y mecanismos institucionales: ¿cómo es el clima de trabajo y el trato con los distintos actores de la universidad? ¿cómo es el funcionamiento de los mecanismos institucionales de decisión e información? (Consejo Superior, Reuniones Paritarias, etc).</w:t>
      </w:r>
      <w:r w:rsidDel="00000000" w:rsidR="00000000" w:rsidRPr="00000000">
        <w:rPr>
          <w:rtl w:val="0"/>
        </w:rPr>
      </w:r>
    </w:p>
    <w:p w:rsidR="00000000" w:rsidDel="00000000" w:rsidP="00000000" w:rsidRDefault="00000000" w:rsidRPr="00000000">
      <w:pPr>
        <w:spacing w:after="0" w:before="0" w:line="240" w:lineRule="auto"/>
        <w:ind w:left="1440" w:firstLine="0"/>
        <w:contextualSpacing w:val="0"/>
        <w:jc w:val="both"/>
      </w:pP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¿Ofrece la Universidad servicios adecuados para la actividad docente? (biblioteca, aulas informatizadas, salas de trabajo para docentes, comedor, transporte, etc.)</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Sala de profesores</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Biblioteca más amplia y con horario más amplio</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Comedor con oferta adecuada en términos económicos y nutricionales con control de gestión</w:t>
      </w:r>
      <w:r w:rsidDel="00000000" w:rsidR="00000000" w:rsidRPr="00000000">
        <w:rPr>
          <w:rtl w:val="0"/>
        </w:rPr>
      </w:r>
    </w:p>
    <w:p w:rsidR="00000000" w:rsidDel="00000000" w:rsidP="00000000" w:rsidRDefault="00000000" w:rsidRPr="00000000">
      <w:pPr>
        <w:numPr>
          <w:ilvl w:val="2"/>
          <w:numId w:val="2"/>
        </w:numPr>
        <w:spacing w:after="0" w:before="0" w:line="240" w:lineRule="auto"/>
        <w:ind w:left="2160" w:hanging="360"/>
        <w:contextualSpacing w:val="1"/>
        <w:jc w:val="both"/>
        <w:rPr/>
      </w:pPr>
      <w:r w:rsidDel="00000000" w:rsidR="00000000" w:rsidRPr="00000000">
        <w:rPr>
          <w:rFonts w:ascii="Cambria" w:cs="Cambria" w:eastAsia="Cambria" w:hAnsi="Cambria"/>
          <w:b w:val="0"/>
          <w:sz w:val="24"/>
          <w:szCs w:val="24"/>
          <w:rtl w:val="0"/>
        </w:rPr>
        <w:t xml:space="preserve">Transporte garantizado 3 veces por día (mañana, tarde y noche) para los docentes desde y hacia La Plata y CABA.</w:t>
      </w:r>
      <w:r w:rsidDel="00000000" w:rsidR="00000000" w:rsidRPr="00000000">
        <w:rPr>
          <w:rtl w:val="0"/>
        </w:rPr>
      </w:r>
    </w:p>
    <w:p w:rsidR="00000000" w:rsidDel="00000000" w:rsidP="00000000" w:rsidRDefault="00000000" w:rsidRPr="00000000">
      <w:pPr>
        <w:spacing w:after="0" w:before="0" w:line="240" w:lineRule="auto"/>
        <w:ind w:left="2160" w:firstLine="0"/>
        <w:contextualSpacing w:val="0"/>
        <w:jc w:val="both"/>
      </w:pP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jc w:val="both"/>
        <w:rPr/>
      </w:pPr>
      <w:r w:rsidDel="00000000" w:rsidR="00000000" w:rsidRPr="00000000">
        <w:rPr>
          <w:rFonts w:ascii="Cambria" w:cs="Cambria" w:eastAsia="Cambria" w:hAnsi="Cambria"/>
          <w:b w:val="1"/>
          <w:sz w:val="24"/>
          <w:szCs w:val="24"/>
          <w:rtl w:val="0"/>
        </w:rPr>
        <w:t xml:space="preserve">Sindicalización</w:t>
      </w:r>
      <w:r w:rsidDel="00000000" w:rsidR="00000000" w:rsidRPr="00000000">
        <w:rPr>
          <w:rFonts w:ascii="Cambria" w:cs="Cambria" w:eastAsia="Cambria" w:hAnsi="Cambria"/>
          <w:b w:val="0"/>
          <w:sz w:val="24"/>
          <w:szCs w:val="24"/>
          <w:rtl w:val="0"/>
        </w:rPr>
        <w:t xml:space="preserve">, situación contractual y objetivos reivindicativos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Paridad de derechos para todos los docentes de la UNAJ. Incorporación a planta provisoria hasta su regularización por concurso de los docentes contratados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¿Cómo debe actuar la Universidad ante el aumento de la matrícula y las necesidades consecuentes de aumentar la plantilla de docentes?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¿Cuáles son los elementos del derecho laboral a mejorar/crear?</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jc w:val="both"/>
        <w:rPr/>
      </w:pPr>
      <w:r w:rsidDel="00000000" w:rsidR="00000000" w:rsidRPr="00000000">
        <w:rPr>
          <w:rFonts w:ascii="Cambria" w:cs="Cambria" w:eastAsia="Cambria" w:hAnsi="Cambria"/>
          <w:b w:val="0"/>
          <w:sz w:val="24"/>
          <w:szCs w:val="24"/>
          <w:rtl w:val="0"/>
        </w:rPr>
        <w:t xml:space="preserve">¿Cuáles serían las directrices del sindicato para el 2017? (acción gremial, acción académica, acción política).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sectPr>
      <w:footerReference r:id="rId5" w:type="default"/>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153"/>
        <w:tab w:val="right" w:pos="8306"/>
      </w:tabs>
      <w:spacing w:after="0" w:before="0" w:line="240" w:lineRule="auto"/>
      <w:contextualSpacing w:val="0"/>
      <w:jc w:val="right"/>
    </w:pPr>
    <w:fldSimple w:instr="PAGE" w:fldLock="0" w:dirty="0">
      <w:r w:rsidDel="00000000" w:rsidR="00000000" w:rsidRPr="00000000">
        <w:rPr>
          <w:rFonts w:ascii="Cambria" w:cs="Cambria" w:eastAsia="Cambria" w:hAnsi="Cambria"/>
          <w:b w:val="0"/>
          <w:sz w:val="24"/>
          <w:szCs w:val="24"/>
        </w:rPr>
      </w:r>
    </w:fldSimple>
    <w:r w:rsidDel="00000000" w:rsidR="00000000" w:rsidRPr="00000000">
      <w:rPr>
        <w:rtl w:val="0"/>
      </w:rPr>
    </w:r>
  </w:p>
  <w:p w:rsidR="00000000" w:rsidDel="00000000" w:rsidP="00000000" w:rsidRDefault="00000000" w:rsidRPr="00000000">
    <w:pPr>
      <w:tabs>
        <w:tab w:val="center" w:pos="4153"/>
        <w:tab w:val="right" w:pos="8306"/>
      </w:tabs>
      <w:spacing w:after="708" w:before="0" w:line="240" w:lineRule="auto"/>
      <w:ind w:right="360"/>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